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B866" w14:textId="2BF48234" w:rsidR="00751EC9" w:rsidRDefault="004E3011" w:rsidP="00AF4F17">
      <w:pPr>
        <w:spacing w:before="120" w:after="120"/>
        <w:ind w:right="-23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6C36A4">
        <w:rPr>
          <w:rFonts w:ascii="Arial" w:hAnsi="Arial" w:cs="Arial"/>
          <w:b/>
          <w:color w:val="FFC000"/>
          <w:sz w:val="28"/>
          <w:szCs w:val="28"/>
        </w:rPr>
        <w:t>EandB</w:t>
      </w:r>
      <w:proofErr w:type="spellEnd"/>
      <w:r w:rsidRPr="006C36A4">
        <w:rPr>
          <w:rFonts w:ascii="Arial" w:hAnsi="Arial" w:cs="Arial"/>
          <w:b/>
          <w:color w:val="FFC000"/>
          <w:sz w:val="28"/>
          <w:szCs w:val="28"/>
        </w:rPr>
        <w:t xml:space="preserve"> - D</w:t>
      </w:r>
      <w:r w:rsidR="00B20ADC" w:rsidRPr="006C36A4">
        <w:rPr>
          <w:rFonts w:ascii="Arial" w:hAnsi="Arial" w:cs="Arial"/>
          <w:b/>
          <w:color w:val="FFC000"/>
          <w:sz w:val="28"/>
          <w:szCs w:val="28"/>
        </w:rPr>
        <w:t xml:space="preserve">efinitions of key terms – Year </w:t>
      </w:r>
      <w:r w:rsidR="006C36A4" w:rsidRPr="006C36A4">
        <w:rPr>
          <w:rFonts w:ascii="Arial" w:hAnsi="Arial" w:cs="Arial"/>
          <w:b/>
          <w:color w:val="FFC000"/>
          <w:sz w:val="28"/>
          <w:szCs w:val="28"/>
        </w:rPr>
        <w:t>8</w:t>
      </w: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80" w:firstRow="0" w:lastRow="0" w:firstColumn="1" w:lastColumn="1" w:noHBand="0" w:noVBand="0"/>
      </w:tblPr>
      <w:tblGrid>
        <w:gridCol w:w="2835"/>
        <w:gridCol w:w="6237"/>
      </w:tblGrid>
      <w:tr w:rsidR="009C1E9F" w:rsidRPr="008A4DE5" w14:paraId="7CCB9C0C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2E9BE15E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Artificial intelligence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2D2197DC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simulation of human intelligence processes by machines, especially computer systems (the processes include learning, reasoning and self-correction)</w:t>
            </w:r>
          </w:p>
        </w:tc>
      </w:tr>
      <w:tr w:rsidR="009C1E9F" w:rsidRPr="008A4DE5" w14:paraId="0E61F611" w14:textId="77777777" w:rsidTr="007F0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A2E835A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Barter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5571EB6F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swapping one product for another</w:t>
            </w:r>
          </w:p>
        </w:tc>
      </w:tr>
      <w:tr w:rsidR="009C1E9F" w:rsidRPr="008A4DE5" w14:paraId="4CF1CC37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5F299D80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Competitive advantage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5A8C2199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attr</w:t>
            </w:r>
            <w:bookmarkStart w:id="0" w:name="_GoBack"/>
            <w:bookmarkEnd w:id="0"/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ibute that allows a business to outperform its competitors/rivals</w:t>
            </w:r>
          </w:p>
        </w:tc>
      </w:tr>
      <w:tr w:rsidR="007730B8" w:rsidRPr="008A4DE5" w14:paraId="512DAE6A" w14:textId="77777777" w:rsidTr="007F0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482A01" w14:textId="5E3DE59A" w:rsidR="007730B8" w:rsidRPr="00920667" w:rsidRDefault="007730B8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Contracting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</w:tcPr>
          <w:p w14:paraId="218046ED" w14:textId="10B94A90" w:rsidR="007730B8" w:rsidRPr="009C1E9F" w:rsidRDefault="007730B8" w:rsidP="004D0212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7730B8">
              <w:rPr>
                <w:rFonts w:ascii="Arial" w:eastAsia="MS Mincho" w:hAnsi="Arial" w:cs="Arial"/>
                <w:b w:val="0"/>
                <w:sz w:val="24"/>
                <w:szCs w:val="24"/>
              </w:rPr>
              <w:t>being hired for a specific job at a specific rate of pay in a formal and legal binding agreement between the employer and the individual employee (a contract employee is not considered a permanent employee)</w:t>
            </w:r>
          </w:p>
        </w:tc>
      </w:tr>
      <w:tr w:rsidR="009C1E9F" w:rsidRPr="008A4DE5" w14:paraId="045F06E0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73342774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Demand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32DA864D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quantity of a good or service that a consumer is willing and able to purchase at a particular price and time</w:t>
            </w:r>
          </w:p>
        </w:tc>
      </w:tr>
      <w:tr w:rsidR="009C1E9F" w:rsidRPr="008A4DE5" w14:paraId="3EDD570F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C977D1E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Disincentive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6AA7B526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a mechanism that discourages or prevents an action, behaviour, or decision (e.g. fees, policies, procedures, rules, taxes)</w:t>
            </w:r>
          </w:p>
        </w:tc>
      </w:tr>
      <w:tr w:rsidR="009C1E9F" w:rsidRPr="008A4DE5" w14:paraId="26CF2F02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4C61B5A3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Express warranty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5B820A3A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an extra verbal or written promise or representation about the quality or standard of a good (e.g. referring to the performance of the good; how long the good will last; the availability of servicing)</w:t>
            </w:r>
          </w:p>
        </w:tc>
      </w:tr>
      <w:tr w:rsidR="009C1E9F" w:rsidRPr="008A4DE5" w14:paraId="3FB2E9E7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754B34B1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Formal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613169C1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work in which a business hires an employee under an established agreement that includes the wage/salary to be paid, the work hours and work days</w:t>
            </w:r>
          </w:p>
        </w:tc>
      </w:tr>
      <w:tr w:rsidR="007730B8" w:rsidRPr="008A4DE5" w14:paraId="2B262FCA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3F097B03" w14:textId="0CAC2122" w:rsidR="007730B8" w:rsidRPr="00920667" w:rsidRDefault="007730B8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Freelancing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69C0F93B" w14:textId="71C8B957" w:rsidR="007730B8" w:rsidRPr="009C1E9F" w:rsidRDefault="007F01FE" w:rsidP="004D0212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7F01FE">
              <w:rPr>
                <w:rFonts w:ascii="Arial" w:eastAsia="MS Mincho" w:hAnsi="Arial" w:cs="Arial"/>
                <w:b w:val="0"/>
                <w:sz w:val="24"/>
                <w:szCs w:val="24"/>
              </w:rPr>
              <w:t>s</w:t>
            </w:r>
            <w:r w:rsidR="007730B8" w:rsidRPr="007F01FE">
              <w:rPr>
                <w:rFonts w:ascii="Arial" w:eastAsia="MS Mincho" w:hAnsi="Arial" w:cs="Arial"/>
                <w:b w:val="0"/>
                <w:sz w:val="24"/>
                <w:szCs w:val="24"/>
              </w:rPr>
              <w:t>elf-employed and selling work or services to businesses by the hour, day or task/project, and typically not committed to a particular employer in the long-term</w:t>
            </w:r>
          </w:p>
        </w:tc>
      </w:tr>
      <w:tr w:rsidR="009C1E9F" w:rsidRPr="008A4DE5" w14:paraId="452A0F87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C4261F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Globalisation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78F75FFB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process of interaction and integration among individuals, businesses, and governments worldwide</w:t>
            </w:r>
          </w:p>
        </w:tc>
      </w:tr>
      <w:tr w:rsidR="009C1E9F" w:rsidRPr="008A4DE5" w14:paraId="65608BD7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79A284E2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Incentive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6AD0BFF2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a mechanism that encourages (or motivates) an action, behaviour, or decision (e.g. higher hourly wages can be used to encourage workers to work overtime)</w:t>
            </w:r>
          </w:p>
        </w:tc>
      </w:tr>
      <w:tr w:rsidR="009C1E9F" w:rsidRPr="008A4DE5" w14:paraId="371E4F45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3E1AAB8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Industry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435F3919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a sector that produces similar types of goods or provides similar services</w:t>
            </w:r>
          </w:p>
        </w:tc>
      </w:tr>
      <w:tr w:rsidR="009C1E9F" w:rsidRPr="008A4DE5" w14:paraId="1B86C4DD" w14:textId="77777777" w:rsidTr="007F0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20D3E615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Informal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7C2E6933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jobs which are not recognized as normal income sources, and on which taxes are not paid</w:t>
            </w:r>
          </w:p>
        </w:tc>
      </w:tr>
      <w:tr w:rsidR="007730B8" w:rsidRPr="008A4DE5" w14:paraId="1049AE5F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795F79D" w14:textId="39FFFF15" w:rsidR="007730B8" w:rsidRPr="00920667" w:rsidRDefault="007730B8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Innovate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5F490B77" w14:textId="15A6DD59" w:rsidR="007730B8" w:rsidRPr="009C1E9F" w:rsidRDefault="007730B8" w:rsidP="004D0212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7730B8">
              <w:rPr>
                <w:rFonts w:ascii="Arial" w:eastAsia="MS Mincho" w:hAnsi="Arial" w:cs="Arial"/>
                <w:b w:val="0"/>
                <w:sz w:val="24"/>
                <w:szCs w:val="24"/>
              </w:rPr>
              <w:t>to dream up and develop new goo</w:t>
            </w:r>
            <w:r>
              <w:rPr>
                <w:rFonts w:ascii="Arial" w:eastAsia="MS Mincho" w:hAnsi="Arial" w:cs="Arial"/>
                <w:b w:val="0"/>
                <w:sz w:val="24"/>
                <w:szCs w:val="24"/>
              </w:rPr>
              <w:t>d</w:t>
            </w:r>
            <w:r w:rsidRPr="007730B8">
              <w:rPr>
                <w:rFonts w:ascii="Arial" w:eastAsia="MS Mincho" w:hAnsi="Arial" w:cs="Arial"/>
                <w:b w:val="0"/>
                <w:sz w:val="24"/>
                <w:szCs w:val="24"/>
              </w:rPr>
              <w:t>s or services</w:t>
            </w:r>
          </w:p>
        </w:tc>
      </w:tr>
      <w:tr w:rsidR="009C1E9F" w:rsidRPr="008A4DE5" w14:paraId="3CB6BADB" w14:textId="77777777" w:rsidTr="00AF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1C3B052A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Niche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1F41DC8C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part of a market in which a business operates</w:t>
            </w:r>
          </w:p>
        </w:tc>
      </w:tr>
    </w:tbl>
    <w:p w14:paraId="3F4FBE6C" w14:textId="23023EEB" w:rsidR="00AF4F17" w:rsidRDefault="00AF4F17" w:rsidP="00AF4F17">
      <w:pPr>
        <w:spacing w:after="0"/>
      </w:pPr>
    </w:p>
    <w:p w14:paraId="2834762B" w14:textId="77777777" w:rsidR="00AF4F17" w:rsidRDefault="00AF4F17" w:rsidP="00AF4F17">
      <w:pPr>
        <w:spacing w:after="0"/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80" w:firstRow="0" w:lastRow="0" w:firstColumn="1" w:lastColumn="1" w:noHBand="0" w:noVBand="0"/>
      </w:tblPr>
      <w:tblGrid>
        <w:gridCol w:w="2835"/>
        <w:gridCol w:w="6237"/>
      </w:tblGrid>
      <w:tr w:rsidR="009C1E9F" w:rsidRPr="008A4DE5" w14:paraId="02936749" w14:textId="77777777" w:rsidTr="00AF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FBD4B4" w:themeColor="accent6" w:themeTint="66"/>
              <w:bottom w:val="single" w:sz="12" w:space="0" w:color="FBD4B4" w:themeColor="accent6" w:themeTint="66"/>
            </w:tcBorders>
            <w:shd w:val="clear" w:color="auto" w:fill="auto"/>
          </w:tcPr>
          <w:p w14:paraId="492B2EC9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Occupation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FBD4B4" w:themeColor="accent6" w:themeTint="66"/>
              <w:bottom w:val="single" w:sz="12" w:space="0" w:color="FBD4B4" w:themeColor="accent6" w:themeTint="66"/>
            </w:tcBorders>
            <w:shd w:val="clear" w:color="auto" w:fill="auto"/>
          </w:tcPr>
          <w:p w14:paraId="18AEBCF3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type of work a person does</w:t>
            </w:r>
          </w:p>
        </w:tc>
      </w:tr>
      <w:tr w:rsidR="007730B8" w:rsidRPr="008A4DE5" w14:paraId="2391B8E1" w14:textId="77777777" w:rsidTr="00AF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FBD4B4" w:themeColor="accent6" w:themeTint="66"/>
            </w:tcBorders>
            <w:shd w:val="clear" w:color="auto" w:fill="FABF8F" w:themeFill="accent6" w:themeFillTint="99"/>
          </w:tcPr>
          <w:p w14:paraId="6DB2A212" w14:textId="2A4BD8B0" w:rsidR="007730B8" w:rsidRPr="00920667" w:rsidRDefault="007730B8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Poverty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FBD4B4" w:themeColor="accent6" w:themeTint="66"/>
            </w:tcBorders>
            <w:shd w:val="clear" w:color="auto" w:fill="FABF8F" w:themeFill="accent6" w:themeFillTint="99"/>
          </w:tcPr>
          <w:p w14:paraId="79008240" w14:textId="33DC5BA0" w:rsidR="007730B8" w:rsidRPr="007F01FE" w:rsidRDefault="007F01FE" w:rsidP="004D0212">
            <w:pPr>
              <w:spacing w:before="120" w:after="120"/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</w:pPr>
            <w:r w:rsidRPr="007F01FE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a lack of income or other resources, to meet basic needs (</w:t>
            </w:r>
            <w:r w:rsidR="00252C0F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such as</w:t>
            </w:r>
            <w:r w:rsidRPr="007F01FE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, living without an adequate diet, a reasonable standard of housing and access to basic health services)</w:t>
            </w:r>
            <w:r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 xml:space="preserve"> OR the inability to participate in the economic and social life enjoyed by others in the society (</w:t>
            </w:r>
            <w:r w:rsidR="00252C0F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such as</w:t>
            </w:r>
            <w:r w:rsidR="00252C0F" w:rsidRPr="007F01FE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lacking the ability to meet regularly with family or friends, to travel to job intervie</w:t>
            </w:r>
            <w:r w:rsidR="00252C0F"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w</w:t>
            </w:r>
            <w:r>
              <w:rPr>
                <w:rFonts w:ascii="Arial" w:eastAsia="MS Mincho" w:hAnsi="Arial" w:cs="Arial"/>
                <w:b w:val="0"/>
                <w:bCs w:val="0"/>
                <w:sz w:val="24"/>
                <w:szCs w:val="24"/>
              </w:rPr>
              <w:t>s or to afford school books for children)</w:t>
            </w:r>
          </w:p>
        </w:tc>
      </w:tr>
      <w:tr w:rsidR="009C1E9F" w:rsidRPr="008A4DE5" w14:paraId="56E9D4C1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BEE070D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Poverty 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25916C05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a benchmark for the adequacy of household incomes (commonly set at either 50% or 60% of the middle or median income)</w:t>
            </w:r>
          </w:p>
        </w:tc>
      </w:tr>
      <w:tr w:rsidR="00252C0F" w:rsidRPr="008A4DE5" w14:paraId="4F29FB4C" w14:textId="77777777" w:rsidTr="007F0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1E158E00" w14:textId="03A48A02" w:rsidR="00252C0F" w:rsidRPr="00920667" w:rsidRDefault="00252C0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Product differentiation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3BF55E28" w14:textId="665E788C" w:rsidR="00252C0F" w:rsidRPr="009C1E9F" w:rsidRDefault="00252C0F" w:rsidP="004D0212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252C0F">
              <w:rPr>
                <w:rFonts w:ascii="Arial" w:eastAsia="MS Mincho" w:hAnsi="Arial" w:cs="Arial"/>
                <w:b w:val="0"/>
                <w:sz w:val="24"/>
                <w:szCs w:val="24"/>
              </w:rPr>
              <w:t>convincing consumers that a product is better than those of its competitors (the difference can be real or perceived)</w:t>
            </w:r>
          </w:p>
        </w:tc>
      </w:tr>
      <w:tr w:rsidR="009C1E9F" w:rsidRPr="008A4DE5" w14:paraId="098DE574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393E141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Redundant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3B355F18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when a worker loses their job as the business no longer requires that job to be done by anyone or the business ceases to operate (becomes insolvent or bankrupt)</w:t>
            </w:r>
          </w:p>
        </w:tc>
      </w:tr>
      <w:tr w:rsidR="007730B8" w:rsidRPr="008A4DE5" w14:paraId="6EFB7593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5BCE965C" w14:textId="54F378EC" w:rsidR="007730B8" w:rsidRPr="00920667" w:rsidRDefault="007730B8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Saturated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1F6B35CB" w14:textId="57AB6266" w:rsidR="007730B8" w:rsidRPr="009C1E9F" w:rsidRDefault="007F01FE" w:rsidP="004D0212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7F01FE">
              <w:rPr>
                <w:rFonts w:ascii="Arial" w:eastAsia="MS Mincho" w:hAnsi="Arial" w:cs="Arial"/>
                <w:b w:val="0"/>
                <w:sz w:val="24"/>
                <w:szCs w:val="24"/>
              </w:rPr>
              <w:t>where almost all customers who will purchase a product have already done so</w:t>
            </w:r>
          </w:p>
        </w:tc>
      </w:tr>
      <w:tr w:rsidR="009C1E9F" w:rsidRPr="008A4DE5" w14:paraId="419063CC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A83C6E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Shortage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0822FEAA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when the quantity of a good or service demanded is greater than the quantity supplied</w:t>
            </w:r>
          </w:p>
        </w:tc>
      </w:tr>
      <w:tr w:rsidR="009C1E9F" w:rsidRPr="008A4DE5" w14:paraId="1B11D201" w14:textId="77777777" w:rsidTr="00252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5B51711C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Supply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5E6D1D81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quantity of a good or service that a business is willing and able to provide at a particular price and time</w:t>
            </w:r>
          </w:p>
        </w:tc>
      </w:tr>
      <w:tr w:rsidR="00252C0F" w:rsidRPr="008A4DE5" w14:paraId="1408694A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5B238AC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Surplus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7134DCD2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when the quantity of a good or service supplied is greater than the quantity demanded</w:t>
            </w:r>
          </w:p>
        </w:tc>
      </w:tr>
      <w:tr w:rsidR="009C1E9F" w:rsidRPr="008A4DE5" w14:paraId="460E18EE" w14:textId="77777777" w:rsidTr="007F0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21BBFF3F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T</w:t>
            </w:r>
            <w:r w:rsidRPr="00DC7602">
              <w:rPr>
                <w:rFonts w:ascii="Arial" w:eastAsia="MS Mincho" w:hAnsi="Arial" w:cs="Arial"/>
                <w:szCs w:val="24"/>
              </w:rPr>
              <w:t>arget market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443BD2AD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the types of people likely to purchase a particular product</w:t>
            </w:r>
          </w:p>
        </w:tc>
      </w:tr>
      <w:tr w:rsidR="00252C0F" w:rsidRPr="008A4DE5" w14:paraId="1D578558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5DF3363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Underemployment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7EC31708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being willing and able to work for more hours than currently undertaken</w:t>
            </w:r>
          </w:p>
        </w:tc>
      </w:tr>
      <w:tr w:rsidR="007F01FE" w:rsidRPr="008A4DE5" w14:paraId="21B35CB9" w14:textId="77777777" w:rsidTr="007F0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ABF8F" w:themeFill="accent6" w:themeFillTint="99"/>
          </w:tcPr>
          <w:p w14:paraId="3F92C9CA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Unemployment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FABF8F" w:themeFill="accent6" w:themeFillTint="99"/>
          </w:tcPr>
          <w:p w14:paraId="7D542F9C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not currently having a job while being willing and able to work</w:t>
            </w:r>
          </w:p>
        </w:tc>
      </w:tr>
      <w:tr w:rsidR="009C1E9F" w:rsidRPr="008A4DE5" w14:paraId="14458441" w14:textId="77777777" w:rsidTr="0025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78F8F228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V</w:t>
            </w:r>
            <w:r w:rsidRPr="00920667">
              <w:rPr>
                <w:rFonts w:ascii="Arial" w:eastAsia="MS Mincho" w:hAnsi="Arial" w:cs="Arial"/>
                <w:szCs w:val="24"/>
              </w:rPr>
              <w:t>ictimisation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016ED748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subjecting, or threatening to subject, someone to a detriment because they assert their rights under anti-discrimination legislation</w:t>
            </w:r>
          </w:p>
        </w:tc>
      </w:tr>
      <w:tr w:rsidR="007F01FE" w:rsidRPr="008A4DE5" w14:paraId="00F1CBCD" w14:textId="77777777" w:rsidTr="00AF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FBD4B4" w:themeColor="accent6" w:themeTint="66"/>
            </w:tcBorders>
            <w:shd w:val="clear" w:color="auto" w:fill="FABF8F" w:themeFill="accent6" w:themeFillTint="99"/>
          </w:tcPr>
          <w:p w14:paraId="49EF73B3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V</w:t>
            </w:r>
            <w:r w:rsidRPr="00920667">
              <w:rPr>
                <w:rFonts w:ascii="Arial" w:eastAsia="MS Mincho" w:hAnsi="Arial" w:cs="Arial"/>
                <w:szCs w:val="24"/>
              </w:rPr>
              <w:t>ilification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bottom w:val="single" w:sz="12" w:space="0" w:color="FBD4B4" w:themeColor="accent6" w:themeTint="66"/>
            </w:tcBorders>
            <w:shd w:val="clear" w:color="auto" w:fill="FABF8F" w:themeFill="accent6" w:themeFillTint="99"/>
          </w:tcPr>
          <w:p w14:paraId="02368750" w14:textId="77777777" w:rsidR="009C1E9F" w:rsidRPr="009C1E9F" w:rsidRDefault="009C1E9F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saying or writing unpleasant things about someone or something, in order to cause other people to have a bad opinion of them</w:t>
            </w:r>
          </w:p>
        </w:tc>
      </w:tr>
    </w:tbl>
    <w:p w14:paraId="29C0B42A" w14:textId="60CC746A" w:rsidR="00AF4F17" w:rsidRDefault="00AF4F17"/>
    <w:p w14:paraId="1E9AF973" w14:textId="77777777" w:rsidR="00AF4F17" w:rsidRDefault="00AF4F17"/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80" w:firstRow="0" w:lastRow="0" w:firstColumn="1" w:lastColumn="1" w:noHBand="0" w:noVBand="0"/>
      </w:tblPr>
      <w:tblGrid>
        <w:gridCol w:w="2835"/>
        <w:gridCol w:w="6237"/>
      </w:tblGrid>
      <w:tr w:rsidR="009C1E9F" w:rsidRPr="008A4DE5" w14:paraId="0F49F020" w14:textId="77777777" w:rsidTr="00AF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FBD4B4" w:themeColor="accent6" w:themeTint="66"/>
              <w:bottom w:val="single" w:sz="12" w:space="0" w:color="FBD4B4" w:themeColor="accent6" w:themeTint="66"/>
            </w:tcBorders>
            <w:shd w:val="clear" w:color="auto" w:fill="auto"/>
          </w:tcPr>
          <w:p w14:paraId="572432BE" w14:textId="77777777" w:rsidR="009C1E9F" w:rsidRPr="00920667" w:rsidRDefault="009C1E9F" w:rsidP="004D0212">
            <w:pPr>
              <w:pStyle w:val="BodyText1"/>
              <w:tabs>
                <w:tab w:val="left" w:pos="6096"/>
              </w:tabs>
              <w:spacing w:before="120" w:after="0" w:line="240" w:lineRule="auto"/>
              <w:rPr>
                <w:rFonts w:ascii="Arial" w:eastAsia="MS Mincho" w:hAnsi="Arial" w:cs="Arial"/>
                <w:szCs w:val="24"/>
              </w:rPr>
            </w:pPr>
            <w:r w:rsidRPr="00920667">
              <w:rPr>
                <w:rFonts w:ascii="Arial" w:eastAsia="MS Mincho" w:hAnsi="Arial" w:cs="Arial"/>
                <w:szCs w:val="24"/>
              </w:rPr>
              <w:t>Volunteering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FBD4B4" w:themeColor="accent6" w:themeTint="66"/>
              <w:bottom w:val="single" w:sz="12" w:space="0" w:color="FBD4B4" w:themeColor="accent6" w:themeTint="66"/>
            </w:tcBorders>
            <w:shd w:val="clear" w:color="auto" w:fill="auto"/>
          </w:tcPr>
          <w:p w14:paraId="22BB8780" w14:textId="31C2FC63" w:rsidR="009C1E9F" w:rsidRPr="009C1E9F" w:rsidRDefault="007F01FE" w:rsidP="004D0212">
            <w:pPr>
              <w:spacing w:before="120" w:after="120"/>
              <w:rPr>
                <w:rFonts w:ascii="Arial" w:eastAsia="MS Mincho" w:hAnsi="Arial" w:cs="Arial"/>
                <w:b w:val="0"/>
                <w:sz w:val="24"/>
                <w:szCs w:val="24"/>
              </w:rPr>
            </w:pPr>
            <w:r>
              <w:rPr>
                <w:rFonts w:ascii="Arial" w:eastAsia="MS Mincho" w:hAnsi="Arial" w:cs="Arial"/>
                <w:b w:val="0"/>
                <w:sz w:val="24"/>
                <w:szCs w:val="24"/>
              </w:rPr>
              <w:t>p</w:t>
            </w:r>
            <w:r w:rsidR="009C1E9F" w:rsidRPr="009C1E9F">
              <w:rPr>
                <w:rFonts w:ascii="Arial" w:eastAsia="MS Mincho" w:hAnsi="Arial" w:cs="Arial"/>
                <w:b w:val="0"/>
                <w:sz w:val="24"/>
                <w:szCs w:val="24"/>
              </w:rPr>
              <w:t>erforming a task without being paid that benefits someone else, the local community or the environment</w:t>
            </w:r>
          </w:p>
        </w:tc>
      </w:tr>
    </w:tbl>
    <w:p w14:paraId="5224C171" w14:textId="77777777" w:rsidR="004E3011" w:rsidRDefault="004E3011" w:rsidP="00AF4F17">
      <w:pPr>
        <w:spacing w:after="0"/>
      </w:pPr>
    </w:p>
    <w:sectPr w:rsidR="004E3011" w:rsidSect="00252C0F">
      <w:headerReference w:type="default" r:id="rId6"/>
      <w:footerReference w:type="default" r:id="rId7"/>
      <w:pgSz w:w="11906" w:h="16838"/>
      <w:pgMar w:top="993" w:right="1133" w:bottom="851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8B81" w14:textId="77777777" w:rsidR="00CE099F" w:rsidRDefault="00CE099F" w:rsidP="00A40782">
      <w:pPr>
        <w:spacing w:after="0" w:line="240" w:lineRule="auto"/>
      </w:pPr>
      <w:r>
        <w:separator/>
      </w:r>
    </w:p>
  </w:endnote>
  <w:endnote w:type="continuationSeparator" w:id="0">
    <w:p w14:paraId="484986FB" w14:textId="77777777" w:rsidR="00CE099F" w:rsidRDefault="00CE099F" w:rsidP="00A4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Century Schoolbook"/>
    <w:charset w:val="4D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9DFB" w14:textId="673B4A73" w:rsidR="00A40782" w:rsidRPr="006C36A4" w:rsidRDefault="00A40782" w:rsidP="00A40782">
    <w:pPr>
      <w:pStyle w:val="Footer"/>
      <w:rPr>
        <w:b/>
        <w:color w:val="FFC000"/>
      </w:rPr>
    </w:pPr>
    <w:proofErr w:type="spellStart"/>
    <w:r w:rsidRPr="006C36A4">
      <w:rPr>
        <w:b/>
        <w:color w:val="FFC000"/>
        <w:sz w:val="23"/>
        <w:szCs w:val="23"/>
      </w:rPr>
      <w:t>EandB</w:t>
    </w:r>
    <w:proofErr w:type="spellEnd"/>
    <w:r w:rsidRPr="006C36A4">
      <w:rPr>
        <w:b/>
        <w:color w:val="FFC000"/>
        <w:sz w:val="23"/>
        <w:szCs w:val="23"/>
      </w:rPr>
      <w:t xml:space="preserve"> Education 201</w:t>
    </w:r>
    <w:r w:rsidR="006C36A4" w:rsidRPr="006C36A4">
      <w:rPr>
        <w:b/>
        <w:color w:val="FFC000"/>
        <w:sz w:val="23"/>
        <w:szCs w:val="23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54F2" w14:textId="77777777" w:rsidR="00CE099F" w:rsidRDefault="00CE099F" w:rsidP="00A40782">
      <w:pPr>
        <w:spacing w:after="0" w:line="240" w:lineRule="auto"/>
      </w:pPr>
      <w:r>
        <w:separator/>
      </w:r>
    </w:p>
  </w:footnote>
  <w:footnote w:type="continuationSeparator" w:id="0">
    <w:p w14:paraId="39264B65" w14:textId="77777777" w:rsidR="00CE099F" w:rsidRDefault="00CE099F" w:rsidP="00A4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6069" w14:textId="354FF1C5" w:rsidR="00A40782" w:rsidRPr="006C36A4" w:rsidRDefault="00B20ADC" w:rsidP="00A40782">
    <w:pPr>
      <w:pStyle w:val="Header"/>
      <w:tabs>
        <w:tab w:val="clear" w:pos="4513"/>
      </w:tabs>
      <w:rPr>
        <w:b/>
        <w:color w:val="FFC000"/>
      </w:rPr>
    </w:pPr>
    <w:r w:rsidRPr="006C36A4">
      <w:rPr>
        <w:b/>
        <w:color w:val="FFC000"/>
      </w:rPr>
      <w:t>Economics and Business</w:t>
    </w:r>
    <w:r w:rsidRPr="006C36A4">
      <w:rPr>
        <w:b/>
        <w:color w:val="FFC000"/>
      </w:rPr>
      <w:tab/>
      <w:t xml:space="preserve">Year </w:t>
    </w:r>
    <w:r w:rsidR="006C36A4" w:rsidRPr="006C36A4">
      <w:rPr>
        <w:b/>
        <w:color w:val="FFC00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11"/>
    <w:rsid w:val="00215AF3"/>
    <w:rsid w:val="00252C0F"/>
    <w:rsid w:val="0048473B"/>
    <w:rsid w:val="004E3011"/>
    <w:rsid w:val="0062546F"/>
    <w:rsid w:val="006C36A4"/>
    <w:rsid w:val="00737627"/>
    <w:rsid w:val="00751EC9"/>
    <w:rsid w:val="007730B8"/>
    <w:rsid w:val="007C7C54"/>
    <w:rsid w:val="007F01FE"/>
    <w:rsid w:val="007F789F"/>
    <w:rsid w:val="008E605A"/>
    <w:rsid w:val="009C1E9F"/>
    <w:rsid w:val="00A03B7E"/>
    <w:rsid w:val="00A40782"/>
    <w:rsid w:val="00AF4F17"/>
    <w:rsid w:val="00B20ADC"/>
    <w:rsid w:val="00C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90EA"/>
  <w15:docId w15:val="{937170AC-EA56-45F3-BD6B-DF76F3D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E3011"/>
    <w:pPr>
      <w:spacing w:after="0" w:line="240" w:lineRule="auto"/>
    </w:pPr>
    <w:rPr>
      <w:rFonts w:ascii="Times" w:eastAsia="Times New Roman" w:hAnsi="Times" w:cs="Symbol"/>
      <w:color w:val="5F497A" w:themeColor="accent4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4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82"/>
  </w:style>
  <w:style w:type="paragraph" w:styleId="Footer">
    <w:name w:val="footer"/>
    <w:basedOn w:val="Normal"/>
    <w:link w:val="FooterChar"/>
    <w:uiPriority w:val="99"/>
    <w:unhideWhenUsed/>
    <w:rsid w:val="00A4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82"/>
  </w:style>
  <w:style w:type="paragraph" w:customStyle="1" w:styleId="Default">
    <w:name w:val="Default"/>
    <w:rsid w:val="00A40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1">
    <w:name w:val="Body Text1"/>
    <w:link w:val="BodyText1Char"/>
    <w:rsid w:val="00B20ADC"/>
    <w:pPr>
      <w:tabs>
        <w:tab w:val="left" w:pos="425"/>
        <w:tab w:val="left" w:pos="851"/>
        <w:tab w:val="left" w:pos="1276"/>
      </w:tabs>
      <w:spacing w:after="140" w:line="300" w:lineRule="atLeast"/>
    </w:pPr>
    <w:rPr>
      <w:rFonts w:ascii="New Century Schlbk" w:eastAsia="Times New Roman" w:hAnsi="New Century Schlbk" w:cs="Symbol"/>
      <w:sz w:val="24"/>
      <w:szCs w:val="20"/>
    </w:rPr>
  </w:style>
  <w:style w:type="character" w:styleId="CommentReference">
    <w:name w:val="annotation reference"/>
    <w:semiHidden/>
    <w:rsid w:val="00B20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0ADC"/>
    <w:pPr>
      <w:spacing w:after="0" w:line="240" w:lineRule="auto"/>
    </w:pPr>
    <w:rPr>
      <w:rFonts w:ascii="Times" w:eastAsia="Times New Roman" w:hAnsi="Times" w:cs="Symbo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ADC"/>
    <w:rPr>
      <w:rFonts w:ascii="Times" w:eastAsia="Times New Roman" w:hAnsi="Times" w:cs="Symbol"/>
      <w:sz w:val="20"/>
      <w:szCs w:val="20"/>
    </w:rPr>
  </w:style>
  <w:style w:type="table" w:styleId="LightShading-Accent3">
    <w:name w:val="Light Shading Accent 3"/>
    <w:basedOn w:val="TableNormal"/>
    <w:uiPriority w:val="60"/>
    <w:rsid w:val="00B20ADC"/>
    <w:pPr>
      <w:spacing w:after="0" w:line="240" w:lineRule="auto"/>
    </w:pPr>
    <w:rPr>
      <w:rFonts w:ascii="Times" w:eastAsia="Times New Roman" w:hAnsi="Times" w:cs="Symbol"/>
      <w:color w:val="76923C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odyText1Char">
    <w:name w:val="Body Text1 Char"/>
    <w:basedOn w:val="DefaultParagraphFont"/>
    <w:link w:val="BodyText1"/>
    <w:rsid w:val="00B20ADC"/>
    <w:rPr>
      <w:rFonts w:ascii="New Century Schlbk" w:eastAsia="Times New Roman" w:hAnsi="New Century Schlbk" w:cs="Symbo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C"/>
    <w:rPr>
      <w:rFonts w:ascii="Tahoma" w:hAnsi="Tahoma" w:cs="Tahoma"/>
      <w:sz w:val="16"/>
      <w:szCs w:val="16"/>
    </w:rPr>
  </w:style>
  <w:style w:type="table" w:styleId="GridTable2-Accent2">
    <w:name w:val="Grid Table 2 Accent 2"/>
    <w:basedOn w:val="TableNormal"/>
    <w:uiPriority w:val="47"/>
    <w:rsid w:val="009C1E9F"/>
    <w:pPr>
      <w:spacing w:after="0" w:line="240" w:lineRule="auto"/>
    </w:pPr>
    <w:rPr>
      <w:rFonts w:ascii="Times" w:eastAsia="Times New Roman" w:hAnsi="Times" w:cs="Symbol"/>
      <w:sz w:val="20"/>
      <w:szCs w:val="20"/>
      <w:lang w:eastAsia="en-AU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Stone</cp:lastModifiedBy>
  <cp:revision>4</cp:revision>
  <dcterms:created xsi:type="dcterms:W3CDTF">2020-01-28T03:11:00Z</dcterms:created>
  <dcterms:modified xsi:type="dcterms:W3CDTF">2020-01-28T04:58:00Z</dcterms:modified>
</cp:coreProperties>
</file>